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администрации 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Одинцовского муниципального района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EE5384" w:rsidRPr="00C244D8" w:rsidRDefault="00EE5384" w:rsidP="00EE5384">
      <w:pPr>
        <w:tabs>
          <w:tab w:val="left" w:pos="5715"/>
        </w:tabs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Одинцовой Т.В.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Главам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городских и сельских поселений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Одинцовского муниципального района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городского округа Звенигород</w:t>
      </w:r>
    </w:p>
    <w:p w:rsidR="00EE5384" w:rsidRPr="00C244D8" w:rsidRDefault="00EE5384" w:rsidP="00EE5384">
      <w:pPr>
        <w:spacing w:after="0" w:line="240" w:lineRule="exact"/>
        <w:ind w:left="9204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Смирнову А.В.</w:t>
      </w: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для размещения на сайтах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EE5384" w:rsidRDefault="00EE5384" w:rsidP="00EE5384">
      <w:pPr>
        <w:pStyle w:val="ConsPlusNormal"/>
        <w:ind w:firstLine="540"/>
        <w:jc w:val="center"/>
        <w:outlineLvl w:val="0"/>
        <w:rPr>
          <w:b/>
          <w:bCs/>
        </w:rPr>
      </w:pPr>
      <w:r w:rsidRPr="00C244D8">
        <w:rPr>
          <w:rFonts w:eastAsia="Times New Roman"/>
          <w:b/>
          <w:bCs/>
        </w:rPr>
        <w:t xml:space="preserve">«Уголовная ответственность </w:t>
      </w:r>
      <w:r>
        <w:rPr>
          <w:rFonts w:eastAsia="Times New Roman"/>
          <w:b/>
          <w:bCs/>
        </w:rPr>
        <w:t xml:space="preserve">за </w:t>
      </w:r>
      <w:r w:rsidR="000B2FE5">
        <w:rPr>
          <w:b/>
          <w:bCs/>
        </w:rPr>
        <w:t>посредничество во взяточничестве</w:t>
      </w:r>
      <w:r w:rsidRPr="00C244D8">
        <w:rPr>
          <w:rFonts w:eastAsia="Times New Roman"/>
          <w:b/>
          <w:bCs/>
        </w:rPr>
        <w:t>»</w:t>
      </w:r>
    </w:p>
    <w:p w:rsidR="00EE5384" w:rsidRPr="00C244D8" w:rsidRDefault="00EE5384" w:rsidP="00EE5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Default="00EE5384" w:rsidP="00EE5384">
      <w:pPr>
        <w:pStyle w:val="ConsPlusNormal"/>
        <w:ind w:firstLine="540"/>
        <w:jc w:val="both"/>
      </w:pPr>
      <w:r>
        <w:t xml:space="preserve">Правовые основы государственного регулирования деятельности по организации и проведению азартных игр на территории Российской Федерации и ограничения данной деятельности осуществляются в соответствии с Гражданским кодексом РФ </w:t>
      </w:r>
      <w:hyperlink r:id="rId6" w:history="1">
        <w:r>
          <w:rPr>
            <w:color w:val="0000FF"/>
          </w:rPr>
          <w:t>(глава 58)</w:t>
        </w:r>
      </w:hyperlink>
      <w:r>
        <w:t xml:space="preserve">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2006 г.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</w:r>
    </w:p>
    <w:p w:rsidR="00EE5384" w:rsidRDefault="00EE5384" w:rsidP="00EE5384">
      <w:pPr>
        <w:pStyle w:val="ConsPlusNormal"/>
        <w:ind w:firstLine="540"/>
        <w:jc w:val="both"/>
      </w:pPr>
      <w:r>
        <w:t>Так, азартная игра - основанное на риске соглашение о выигрыше, заключенное двумя или несколькими участниками такого соглашения между собой либо с организатором азартной игры по правилам, установленным организатором азартной игры.</w:t>
      </w:r>
    </w:p>
    <w:p w:rsidR="00EE5384" w:rsidRDefault="00EE5384" w:rsidP="00EE5384">
      <w:pPr>
        <w:pStyle w:val="ConsPlusNormal"/>
        <w:ind w:firstLine="540"/>
        <w:jc w:val="both"/>
      </w:pPr>
      <w:r>
        <w:t xml:space="preserve">Федеральным законодательством установлены следующие основные ограничения на проведение азартных игр: </w:t>
      </w:r>
    </w:p>
    <w:p w:rsidR="00EE5384" w:rsidRDefault="00EE5384" w:rsidP="00EE5384">
      <w:pPr>
        <w:pStyle w:val="ConsPlusNormal"/>
        <w:ind w:firstLine="540"/>
        <w:jc w:val="both"/>
      </w:pPr>
      <w:r>
        <w:t xml:space="preserve">1) организаторами азартных игр могут быть лишь юридические лица, зарегистрированные на территории РФ; </w:t>
      </w:r>
    </w:p>
    <w:p w:rsidR="00EE5384" w:rsidRDefault="00EE5384" w:rsidP="00EE5384">
      <w:pPr>
        <w:pStyle w:val="ConsPlusNormal"/>
        <w:ind w:firstLine="540"/>
        <w:jc w:val="both"/>
      </w:pPr>
      <w:r>
        <w:t xml:space="preserve">2) деятельность по организации и проведению азартных игр может осуществляться исключительно в игорных заведениях, соответствующих требованиям действующего законодательства; </w:t>
      </w:r>
    </w:p>
    <w:p w:rsidR="00EE5384" w:rsidRDefault="00EE5384" w:rsidP="00EE5384">
      <w:pPr>
        <w:pStyle w:val="ConsPlusNormal"/>
        <w:ind w:firstLine="540"/>
        <w:jc w:val="both"/>
      </w:pPr>
      <w:r>
        <w:t xml:space="preserve">3) не допускается деятельность по организации и проведению азартных игр с использованием информационно-телекоммуникационных сетей, в том числе сети Интернет, а также средств связи, в том числе подвижной связи; </w:t>
      </w:r>
    </w:p>
    <w:p w:rsidR="00EE5384" w:rsidRDefault="00EE5384" w:rsidP="00EE5384">
      <w:pPr>
        <w:pStyle w:val="ConsPlusNormal"/>
        <w:ind w:firstLine="540"/>
        <w:jc w:val="both"/>
      </w:pPr>
      <w:r>
        <w:t xml:space="preserve">4) игорные заведения (за исключением букмекерских контор, тотализаторов, их пунктов приема ставок) могут быть открыты исключительно в игорных зонах в порядке, установленном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>.</w:t>
      </w:r>
    </w:p>
    <w:p w:rsidR="00EE5384" w:rsidRDefault="00EE5384" w:rsidP="00EE5384">
      <w:pPr>
        <w:pStyle w:val="ConsPlusNormal"/>
        <w:ind w:firstLine="540"/>
        <w:jc w:val="both"/>
      </w:pPr>
      <w:r>
        <w:lastRenderedPageBreak/>
        <w:t>В соответствии ч. 1 ст. 171.2 УК РФ уголовно наказуемыми деяниями признаются лишь организация и (или) проведение азартных игр  с использованием игрового оборудования вне игорной зоны; с использованием информационно-телекоммуникационных сетей, в том числе сети Интернет, а также средств связи, в том числе подвижной связи; без полученного в установленном порядке разрешения на осуществление деятельности по организации и проведению азартных игр в игорной зоне.</w:t>
      </w:r>
    </w:p>
    <w:p w:rsidR="00EE5384" w:rsidRDefault="00EE5384" w:rsidP="00EE5384">
      <w:pPr>
        <w:pStyle w:val="ConsPlusNormal"/>
        <w:ind w:firstLine="540"/>
        <w:jc w:val="both"/>
      </w:pPr>
      <w:r>
        <w:t>Исключение составляет лишь деятельность букмекерских контор, тотализаторов и их пунктов приема ставок (без использования при этом игровых автоматов и игровых столов), которые могут быть расположены вне игровых зон.</w:t>
      </w:r>
    </w:p>
    <w:p w:rsidR="00EE5384" w:rsidRDefault="00EE5384" w:rsidP="00EE5384">
      <w:pPr>
        <w:pStyle w:val="ConsPlusNormal"/>
        <w:ind w:firstLine="540"/>
        <w:jc w:val="both"/>
      </w:pPr>
      <w:r>
        <w:t>Таким образом, любая форма организации и проведения азартных игр вне игорных зон (за вышеуказанным исключением), а также аналогичная деятельность в игорных зонах без соответствующего разрешения либо после его аннулирования влечет наступление уголовной ответственности, предусмотренной ст. 171.2 УК РФ.</w:t>
      </w:r>
    </w:p>
    <w:p w:rsidR="00EE5384" w:rsidRPr="00C244D8" w:rsidRDefault="00EE5384" w:rsidP="00EE53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6, 22 Федерального закона «О прокуратуре РФ», данная статья направляется для рассмотрения вопроса о размещении ее на официальных сайтах муниципальных образований в сети Интернет. </w:t>
      </w:r>
    </w:p>
    <w:p w:rsidR="00EE5384" w:rsidRPr="00C244D8" w:rsidRDefault="00EE5384" w:rsidP="00EE53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 результатах и принятых мерах прошу сообщить в городскую прокуратуру.</w:t>
      </w: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прокурор </w:t>
      </w: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советник юстиции                                                                         </w:t>
      </w:r>
      <w:r w:rsidR="007864B8">
        <w:rPr>
          <w:rFonts w:ascii="Times New Roman" w:eastAsia="Times New Roman" w:hAnsi="Times New Roman" w:cs="Times New Roman"/>
          <w:color w:val="000000"/>
          <w:sz w:val="28"/>
          <w:szCs w:val="28"/>
        </w:rPr>
        <w:t>Ю.Г. Чижов</w:t>
      </w: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4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Месионжник Е.А.</w:t>
      </w:r>
    </w:p>
    <w:p w:rsidR="00EE5384" w:rsidRPr="00C3080A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44D8">
        <w:rPr>
          <w:rFonts w:ascii="Times New Roman" w:eastAsia="Times New Roman" w:hAnsi="Times New Roman" w:cs="Times New Roman"/>
          <w:color w:val="000000"/>
          <w:sz w:val="20"/>
          <w:szCs w:val="20"/>
        </w:rPr>
        <w:t>Тел. 8(495)596-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54-35</w:t>
      </w:r>
    </w:p>
    <w:sectPr w:rsidR="00EE5384" w:rsidRPr="00C3080A" w:rsidSect="00A07BDF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F5" w:rsidRDefault="009751F5" w:rsidP="005F36A4">
      <w:pPr>
        <w:spacing w:after="0" w:line="240" w:lineRule="auto"/>
      </w:pPr>
      <w:r>
        <w:separator/>
      </w:r>
    </w:p>
  </w:endnote>
  <w:endnote w:type="continuationSeparator" w:id="1">
    <w:p w:rsidR="009751F5" w:rsidRDefault="009751F5" w:rsidP="005F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F5" w:rsidRDefault="009751F5" w:rsidP="005F36A4">
      <w:pPr>
        <w:spacing w:after="0" w:line="240" w:lineRule="auto"/>
      </w:pPr>
      <w:r>
        <w:separator/>
      </w:r>
    </w:p>
  </w:footnote>
  <w:footnote w:type="continuationSeparator" w:id="1">
    <w:p w:rsidR="009751F5" w:rsidRDefault="009751F5" w:rsidP="005F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DF" w:rsidRDefault="009B5A74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BDF" w:rsidRDefault="009751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DF" w:rsidRDefault="009B5A74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4B8">
      <w:rPr>
        <w:rStyle w:val="a5"/>
        <w:noProof/>
      </w:rPr>
      <w:t>2</w:t>
    </w:r>
    <w:r>
      <w:rPr>
        <w:rStyle w:val="a5"/>
      </w:rPr>
      <w:fldChar w:fldCharType="end"/>
    </w:r>
  </w:p>
  <w:p w:rsidR="00A07BDF" w:rsidRDefault="009751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384"/>
    <w:rsid w:val="000B2FE5"/>
    <w:rsid w:val="00123339"/>
    <w:rsid w:val="002B3249"/>
    <w:rsid w:val="003075DE"/>
    <w:rsid w:val="004D0903"/>
    <w:rsid w:val="005B75AF"/>
    <w:rsid w:val="005D542A"/>
    <w:rsid w:val="005F36A4"/>
    <w:rsid w:val="0075316B"/>
    <w:rsid w:val="007864B8"/>
    <w:rsid w:val="007F4AC9"/>
    <w:rsid w:val="009751F5"/>
    <w:rsid w:val="009B5A74"/>
    <w:rsid w:val="00EE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538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E5384"/>
  </w:style>
  <w:style w:type="character" w:styleId="a6">
    <w:name w:val="Hyperlink"/>
    <w:basedOn w:val="a0"/>
    <w:uiPriority w:val="99"/>
    <w:unhideWhenUsed/>
    <w:rsid w:val="00EE5384"/>
    <w:rPr>
      <w:color w:val="0000FF" w:themeColor="hyperlink"/>
      <w:u w:val="single"/>
    </w:rPr>
  </w:style>
  <w:style w:type="paragraph" w:customStyle="1" w:styleId="ConsPlusNormal">
    <w:name w:val="ConsPlusNormal"/>
    <w:rsid w:val="00EE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C7769B9945FC4CD591CE7054E84EE41B8E0DB5BBBBE1CCC163F87053F665F75098ABA1E850797G4n3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345DAB782A8631951DBB284E85A77E1FD51E259A30881DB2DCF22DCCy9l1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45DAB782A8631951DBB284E85A77E1FD411249E32881DB2DCF22DCC91DF1C7865375EFDF80CBDy4lC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MesionEA</dc:creator>
  <cp:lastModifiedBy>MesionEA</cp:lastModifiedBy>
  <cp:revision>3</cp:revision>
  <cp:lastPrinted>2016-11-17T16:42:00Z</cp:lastPrinted>
  <dcterms:created xsi:type="dcterms:W3CDTF">2017-07-18T14:45:00Z</dcterms:created>
  <dcterms:modified xsi:type="dcterms:W3CDTF">2017-07-18T18:17:00Z</dcterms:modified>
</cp:coreProperties>
</file>